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2023全国旅游公共服务优秀案例名单</w:t>
      </w:r>
    </w:p>
    <w:p>
      <w:pPr>
        <w:widowControl/>
        <w:adjustRightInd w:val="0"/>
        <w:snapToGrid w:val="0"/>
        <w:jc w:val="center"/>
        <w:rPr>
          <w:rFonts w:hint="eastAsia" w:ascii="楷体_GB2312" w:hAnsi="楷体_GB2312" w:eastAsia="楷体_GB2312" w:cs="楷体_GB2312"/>
          <w:color w:val="000000"/>
          <w:kern w:val="0"/>
          <w:sz w:val="36"/>
          <w:szCs w:val="36"/>
          <w:lang w:val="en-US" w:eastAsia="zh-CN"/>
        </w:rPr>
      </w:pPr>
      <w:r>
        <w:rPr>
          <w:rFonts w:hint="eastAsia" w:ascii="楷体_GB2312" w:hAnsi="楷体_GB2312" w:eastAsia="楷体_GB2312" w:cs="楷体_GB2312"/>
          <w:color w:val="000000"/>
          <w:kern w:val="0"/>
          <w:sz w:val="36"/>
          <w:szCs w:val="36"/>
          <w:lang w:val="en-US" w:eastAsia="zh-CN"/>
        </w:rPr>
        <w:t>（共31个，按行政区划排序）</w:t>
      </w:r>
    </w:p>
    <w:p>
      <w:pPr>
        <w:pStyle w:val="2"/>
        <w:rPr>
          <w:rFonts w:hint="eastAsia"/>
          <w:lang w:val="en-US" w:eastAsia="zh-CN"/>
        </w:rPr>
      </w:pPr>
    </w:p>
    <w:tbl>
      <w:tblPr>
        <w:tblStyle w:val="3"/>
        <w:tblW w:w="9340" w:type="dxa"/>
        <w:jc w:val="center"/>
        <w:tblInd w:w="-2554" w:type="dxa"/>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
      <w:tblGrid>
        <w:gridCol w:w="1100"/>
        <w:gridCol w:w="1834"/>
        <w:gridCol w:w="6406"/>
      </w:tblGrid>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661"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i w:val="0"/>
                <w:color w:val="000000"/>
                <w:kern w:val="0"/>
                <w:sz w:val="36"/>
                <w:szCs w:val="36"/>
                <w:u w:val="none"/>
                <w:lang w:val="en-US" w:eastAsia="zh-CN" w:bidi="ar"/>
              </w:rPr>
            </w:pPr>
            <w:r>
              <w:rPr>
                <w:rFonts w:hint="eastAsia" w:ascii="黑体" w:hAnsi="黑体" w:eastAsia="黑体" w:cs="黑体"/>
                <w:i w:val="0"/>
                <w:color w:val="000000"/>
                <w:kern w:val="0"/>
                <w:sz w:val="36"/>
                <w:szCs w:val="36"/>
                <w:u w:val="none"/>
                <w:lang w:val="en-US" w:eastAsia="zh-CN" w:bidi="ar"/>
              </w:rPr>
              <w:t>序号</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i w:val="0"/>
                <w:color w:val="000000"/>
                <w:kern w:val="0"/>
                <w:sz w:val="36"/>
                <w:szCs w:val="36"/>
                <w:u w:val="none"/>
                <w:lang w:val="en-US" w:eastAsia="zh-CN" w:bidi="ar"/>
              </w:rPr>
            </w:pPr>
            <w:r>
              <w:rPr>
                <w:rFonts w:hint="eastAsia" w:ascii="黑体" w:hAnsi="黑体" w:eastAsia="黑体" w:cs="黑体"/>
                <w:i w:val="0"/>
                <w:color w:val="000000"/>
                <w:kern w:val="0"/>
                <w:sz w:val="36"/>
                <w:szCs w:val="36"/>
                <w:u w:val="none"/>
                <w:lang w:val="en-US" w:eastAsia="zh-CN" w:bidi="ar"/>
              </w:rPr>
              <w:t>省（区、市）</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i w:val="0"/>
                <w:color w:val="000000"/>
                <w:kern w:val="0"/>
                <w:sz w:val="36"/>
                <w:szCs w:val="36"/>
                <w:u w:val="none"/>
                <w:lang w:val="en-US" w:eastAsia="zh-CN" w:bidi="ar"/>
              </w:rPr>
            </w:pPr>
            <w:r>
              <w:rPr>
                <w:rFonts w:hint="eastAsia" w:ascii="黑体" w:hAnsi="黑体" w:eastAsia="黑体" w:cs="黑体"/>
                <w:i w:val="0"/>
                <w:color w:val="000000"/>
                <w:kern w:val="0"/>
                <w:sz w:val="36"/>
                <w:szCs w:val="36"/>
                <w:u w:val="none"/>
                <w:lang w:val="en-US" w:eastAsia="zh-CN" w:bidi="ar"/>
              </w:rPr>
              <w:t>案例名称</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36"/>
                <w:szCs w:val="36"/>
                <w:u w:val="none"/>
                <w:lang w:val="en-US" w:eastAsia="zh-CN"/>
              </w:rPr>
            </w:pPr>
            <w:r>
              <w:rPr>
                <w:rFonts w:hint="eastAsia" w:ascii="仿宋_GB2312" w:hAnsi="仿宋_GB2312" w:eastAsia="仿宋_GB2312" w:cs="仿宋_GB2312"/>
                <w:i w:val="0"/>
                <w:color w:val="000000"/>
                <w:sz w:val="36"/>
                <w:szCs w:val="36"/>
                <w:u w:val="none"/>
                <w:lang w:val="en-US" w:eastAsia="zh-CN"/>
              </w:rPr>
              <w:t>1</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北京市</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扫掌上地图 享智慧出行——“北京智慧旅游地图”助您在京畅游无忧</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2</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天津市</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融合引流打造沉浸式文旅新场景——天津文化中心提升旅游公共服务水平有新招</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262"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3</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河北省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以冬奥为契机全面提升游客旅行体验——张家口市着力构建“高效普惠”的旅游惠民便民服务体系</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4</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山西省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因为一条路 改变一座城——陵川县太行一号旅游公路成为带动发展的富民路</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5</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内蒙古</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自治区</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鄂尔多斯市东胜区打造文旅大数据综合管理平台</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6</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辽宁省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盘锦市打造一体游平台助力景区智能化服务</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7</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吉林省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sz w:val="36"/>
                <w:szCs w:val="36"/>
                <w:lang w:val="en-US" w:eastAsia="zh-CN"/>
              </w:rPr>
            </w:pPr>
            <w:r>
              <w:rPr>
                <w:rFonts w:hint="eastAsia" w:ascii="仿宋_GB2312" w:hAnsi="仿宋_GB2312" w:eastAsia="仿宋_GB2312" w:cs="仿宋_GB2312"/>
                <w:i w:val="0"/>
                <w:color w:val="000000"/>
                <w:kern w:val="0"/>
                <w:sz w:val="36"/>
                <w:szCs w:val="36"/>
                <w:u w:val="none"/>
                <w:lang w:val="en-US" w:eastAsia="zh-CN" w:bidi="ar"/>
              </w:rPr>
              <w:t>蛟河市健全旅游公共交通服务，助力旅游业高质量发展</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8</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黑龙江省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面对新需求，同江市旅游公共服务拿出新“干货”</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9</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上海市</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一屏统管 一机全览 一码通关 一票畅游 数字技术助力“线上苏河”新体验</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262"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10</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江苏省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擦亮旅游城市名片 增色“扬州是个好地方”——强化全链条旅游服务保障构建服务游客“扬州样板”</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262"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11</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浙江省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助力强县富民 点靓北纬30度最美海岸线——浙江省象山县全力打造“青年与海”旅游驿站</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12</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安徽省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提升服务品质 提高管理效率——黄山市打造“乐游黄山区”智慧管理平台</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68"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13</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福建省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构建智慧文旅平台 服务文旅经济发展——莆田市建设“这就是莆田”数字文旅平台</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070"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14</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江西省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浮梁县程家山打造红色旅游公共服务新模式</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262"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auto"/>
                <w:kern w:val="0"/>
                <w:sz w:val="36"/>
                <w:szCs w:val="36"/>
                <w:u w:val="none"/>
                <w:lang w:val="en-US" w:eastAsia="zh-CN" w:bidi="ar"/>
              </w:rPr>
            </w:pPr>
            <w:r>
              <w:rPr>
                <w:rFonts w:hint="eastAsia" w:ascii="仿宋_GB2312" w:hAnsi="仿宋_GB2312" w:eastAsia="仿宋_GB2312" w:cs="仿宋_GB2312"/>
                <w:i w:val="0"/>
                <w:color w:val="auto"/>
                <w:kern w:val="0"/>
                <w:sz w:val="36"/>
                <w:szCs w:val="36"/>
                <w:u w:val="none"/>
                <w:lang w:val="en-US" w:eastAsia="zh-CN" w:bidi="ar"/>
              </w:rPr>
              <w:t>15</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auto"/>
                <w:kern w:val="0"/>
                <w:sz w:val="36"/>
                <w:szCs w:val="36"/>
                <w:u w:val="none"/>
                <w:lang w:val="en-US" w:eastAsia="zh-CN" w:bidi="ar"/>
              </w:rPr>
            </w:pPr>
            <w:r>
              <w:rPr>
                <w:rFonts w:hint="eastAsia" w:ascii="仿宋_GB2312" w:hAnsi="仿宋_GB2312" w:eastAsia="仿宋_GB2312" w:cs="仿宋_GB2312"/>
                <w:i w:val="0"/>
                <w:color w:val="auto"/>
                <w:kern w:val="0"/>
                <w:sz w:val="36"/>
                <w:szCs w:val="36"/>
                <w:u w:val="none"/>
                <w:lang w:val="en-US" w:eastAsia="zh-CN" w:bidi="ar"/>
              </w:rPr>
              <w:t>山东省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auto"/>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济南市槐荫区景区+网约车平台合作模式提升旅游交通服务体验</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957"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36"/>
                <w:szCs w:val="36"/>
                <w:u w:val="none"/>
                <w:lang w:val="en-US"/>
              </w:rPr>
            </w:pPr>
            <w:r>
              <w:rPr>
                <w:rFonts w:hint="eastAsia" w:ascii="仿宋_GB2312" w:hAnsi="仿宋_GB2312" w:eastAsia="仿宋_GB2312" w:cs="仿宋_GB2312"/>
                <w:i w:val="0"/>
                <w:color w:val="000000"/>
                <w:kern w:val="0"/>
                <w:sz w:val="36"/>
                <w:szCs w:val="36"/>
                <w:u w:val="none"/>
                <w:lang w:val="en-US" w:eastAsia="zh-CN" w:bidi="ar"/>
              </w:rPr>
              <w:t>16</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河南省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三门峡市打造“一码游三门峡”信息服务平台</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948"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36"/>
                <w:szCs w:val="36"/>
                <w:u w:val="none"/>
                <w:lang w:val="en-US"/>
              </w:rPr>
            </w:pPr>
            <w:r>
              <w:rPr>
                <w:rFonts w:hint="eastAsia" w:ascii="仿宋_GB2312" w:hAnsi="仿宋_GB2312" w:eastAsia="仿宋_GB2312" w:cs="仿宋_GB2312"/>
                <w:i w:val="0"/>
                <w:color w:val="000000"/>
                <w:kern w:val="0"/>
                <w:sz w:val="36"/>
                <w:szCs w:val="36"/>
                <w:u w:val="none"/>
                <w:lang w:val="en-US" w:eastAsia="zh-CN" w:bidi="ar"/>
              </w:rPr>
              <w:t>17</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湖北省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抢抓创新点 争做排头兵——武汉市打造全景开放式旅游信息咨询平台</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262"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auto"/>
                <w:kern w:val="0"/>
                <w:sz w:val="36"/>
                <w:szCs w:val="36"/>
                <w:u w:val="none"/>
                <w:lang w:val="en-US" w:eastAsia="zh-CN" w:bidi="ar"/>
              </w:rPr>
            </w:pPr>
            <w:r>
              <w:rPr>
                <w:rFonts w:hint="eastAsia" w:ascii="仿宋_GB2312" w:hAnsi="仿宋_GB2312" w:eastAsia="仿宋_GB2312" w:cs="仿宋_GB2312"/>
                <w:i w:val="0"/>
                <w:color w:val="auto"/>
                <w:kern w:val="0"/>
                <w:sz w:val="36"/>
                <w:szCs w:val="36"/>
                <w:u w:val="none"/>
                <w:lang w:val="en-US" w:eastAsia="zh-CN" w:bidi="ar"/>
              </w:rPr>
              <w:t>18</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auto"/>
                <w:kern w:val="0"/>
                <w:sz w:val="36"/>
                <w:szCs w:val="36"/>
                <w:u w:val="none"/>
                <w:lang w:val="en-US" w:eastAsia="zh-CN" w:bidi="ar"/>
              </w:rPr>
            </w:pPr>
            <w:r>
              <w:rPr>
                <w:rFonts w:hint="eastAsia" w:ascii="仿宋_GB2312" w:hAnsi="仿宋_GB2312" w:eastAsia="仿宋_GB2312" w:cs="仿宋_GB2312"/>
                <w:i w:val="0"/>
                <w:color w:val="auto"/>
                <w:kern w:val="0"/>
                <w:sz w:val="36"/>
                <w:szCs w:val="36"/>
                <w:u w:val="none"/>
                <w:lang w:val="en-US" w:eastAsia="zh-CN" w:bidi="ar"/>
              </w:rPr>
              <w:t>湖南省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auto"/>
                <w:kern w:val="0"/>
                <w:sz w:val="36"/>
                <w:szCs w:val="36"/>
                <w:u w:val="none"/>
                <w:lang w:val="en-US" w:eastAsia="zh-CN" w:bidi="ar"/>
              </w:rPr>
            </w:pPr>
            <w:r>
              <w:rPr>
                <w:rFonts w:hint="eastAsia" w:ascii="仿宋_GB2312" w:hAnsi="仿宋_GB2312" w:eastAsia="仿宋_GB2312" w:cs="仿宋_GB2312"/>
                <w:i w:val="0"/>
                <w:color w:val="auto"/>
                <w:kern w:val="0"/>
                <w:sz w:val="36"/>
                <w:szCs w:val="36"/>
                <w:u w:val="none"/>
                <w:lang w:val="en-US" w:eastAsia="zh-CN" w:bidi="ar"/>
              </w:rPr>
              <w:t>开启“旅游速裁法庭”，速解旅游涉事纠纷——张家界市永定区人民法院旅游在线速裁新模式</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998"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19</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广东省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lang w:val="en-US" w:eastAsia="zh-CN"/>
              </w:rPr>
            </w:pPr>
            <w:r>
              <w:rPr>
                <w:rFonts w:hint="eastAsia" w:ascii="仿宋_GB2312" w:hAnsi="仿宋_GB2312" w:eastAsia="仿宋_GB2312" w:cs="仿宋_GB2312"/>
                <w:i w:val="0"/>
                <w:color w:val="auto"/>
                <w:kern w:val="0"/>
                <w:sz w:val="36"/>
                <w:szCs w:val="36"/>
                <w:u w:val="none"/>
                <w:lang w:val="en-US" w:eastAsia="zh-CN" w:bidi="ar"/>
              </w:rPr>
              <w:t>广东省实施“七个一”惠民措施推动文旅消费加快复苏</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370"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20</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广西壮族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自治区</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“文化赋能 融合创新”——广西壮族自治区探索推进旅游集散中心与公共文化空间融合建设新路径</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407"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36"/>
                <w:szCs w:val="36"/>
                <w:u w:val="none"/>
                <w:lang w:val="en-US"/>
              </w:rPr>
            </w:pPr>
            <w:r>
              <w:rPr>
                <w:rFonts w:hint="eastAsia" w:ascii="仿宋_GB2312" w:hAnsi="仿宋_GB2312" w:eastAsia="仿宋_GB2312" w:cs="仿宋_GB2312"/>
                <w:i w:val="0"/>
                <w:color w:val="000000"/>
                <w:kern w:val="0"/>
                <w:sz w:val="36"/>
                <w:szCs w:val="36"/>
                <w:u w:val="none"/>
                <w:lang w:val="en-US" w:eastAsia="zh-CN" w:bidi="ar"/>
              </w:rPr>
              <w:t>21</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海南省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仿宋_GB2312" w:hAnsi="仿宋_GB2312" w:eastAsia="仿宋_GB2312" w:cs="仿宋_GB2312"/>
                <w:i w:val="0"/>
                <w:color w:val="000000"/>
                <w:sz w:val="36"/>
                <w:szCs w:val="36"/>
                <w:u w:val="none"/>
                <w:lang w:val="en-US"/>
              </w:rPr>
            </w:pPr>
            <w:r>
              <w:rPr>
                <w:rFonts w:hint="eastAsia" w:ascii="仿宋_GB2312" w:hAnsi="仿宋_GB2312" w:eastAsia="仿宋_GB2312" w:cs="仿宋_GB2312"/>
                <w:i w:val="0"/>
                <w:color w:val="000000"/>
                <w:kern w:val="0"/>
                <w:sz w:val="36"/>
                <w:szCs w:val="36"/>
                <w:u w:val="none"/>
                <w:lang w:val="en-US" w:eastAsia="zh-CN" w:bidi="ar"/>
              </w:rPr>
              <w:t>提供精细化服务 打造暖心驿站——海口市高铁东站旅游信息咨询中心切实提升旅游公共服务水平</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262"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36"/>
                <w:szCs w:val="36"/>
                <w:u w:val="none"/>
                <w:lang w:val="en-US"/>
              </w:rPr>
            </w:pPr>
            <w:r>
              <w:rPr>
                <w:rFonts w:hint="eastAsia" w:ascii="仿宋_GB2312" w:hAnsi="仿宋_GB2312" w:eastAsia="仿宋_GB2312" w:cs="仿宋_GB2312"/>
                <w:i w:val="0"/>
                <w:color w:val="000000"/>
                <w:kern w:val="0"/>
                <w:sz w:val="36"/>
                <w:szCs w:val="36"/>
                <w:u w:val="none"/>
                <w:lang w:val="en-US" w:eastAsia="zh-CN" w:bidi="ar"/>
              </w:rPr>
              <w:t>22</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重庆市</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打破部门壁垒，联调联动推进旅游公共服务质量全面提升——重庆市巴南区创新开展旅游纠纷调解公共服务</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262"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23</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四川省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“道”处皆景，交旅融合“加速度”带动全方位发展——大渡河风景道（乐山段）旅游公共交通服务建设成效显著</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907"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24</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贵州省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平塘天空之桥服务区以文体旅融合为抓手积极打造桥旅融合典范</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262"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25</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云南省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一路风景一路情 康庄路上谱新篇——怒江美丽公路（219国道）交旅融合发展实践</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1670"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26</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西藏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自治区</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“旅游+科技”创新 推进旅游“智慧”公共服务转型升级——西藏自治区林芝市创新探索智慧导游（语音讲解）纪实</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81"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27</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陕西省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数字科技赋能陕西文旅高质量发展——陕西省加快建设“游陕西”公共服务平台</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28</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甘肃省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兰州市旅游公共交通服务：夜游黄河水上巴士助力交旅融合发展</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36"/>
                <w:szCs w:val="36"/>
                <w:u w:val="none"/>
                <w:lang w:val="en-US"/>
              </w:rPr>
            </w:pPr>
            <w:r>
              <w:rPr>
                <w:rFonts w:hint="eastAsia" w:ascii="仿宋_GB2312" w:hAnsi="仿宋_GB2312" w:eastAsia="仿宋_GB2312" w:cs="仿宋_GB2312"/>
                <w:i w:val="0"/>
                <w:color w:val="000000"/>
                <w:kern w:val="0"/>
                <w:sz w:val="36"/>
                <w:szCs w:val="36"/>
                <w:u w:val="none"/>
                <w:lang w:val="en-US" w:eastAsia="zh-CN" w:bidi="ar"/>
              </w:rPr>
              <w:t>29</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青海省</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加强旅游安全监管  做好旺季服务保障——“警旅联动”营造安心旅游环境</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5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36"/>
                <w:szCs w:val="36"/>
                <w:u w:val="none"/>
                <w:lang w:val="en-US"/>
              </w:rPr>
            </w:pPr>
            <w:r>
              <w:rPr>
                <w:rFonts w:hint="eastAsia" w:ascii="仿宋_GB2312" w:hAnsi="仿宋_GB2312" w:eastAsia="仿宋_GB2312" w:cs="仿宋_GB2312"/>
                <w:i w:val="0"/>
                <w:color w:val="000000"/>
                <w:kern w:val="0"/>
                <w:sz w:val="36"/>
                <w:szCs w:val="36"/>
                <w:u w:val="none"/>
                <w:lang w:val="en-US" w:eastAsia="zh-CN" w:bidi="ar"/>
              </w:rPr>
              <w:t>30</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宁夏回族自治区</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织密智慧旅游服务网 实现“一部手机游银川”</w:t>
            </w:r>
          </w:p>
        </w:tc>
      </w:tr>
      <w:tr>
        <w:tblPrEx>
          <w:tblBorders>
            <w:top w:val="single" w:color="000000" w:sz="8"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Ex>
        <w:trPr>
          <w:trHeight w:val="863" w:hRule="atLeast"/>
          <w:jc w:val="center"/>
        </w:trPr>
        <w:tc>
          <w:tcPr>
            <w:tcW w:w="11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36"/>
                <w:szCs w:val="36"/>
                <w:u w:val="none"/>
                <w:lang w:val="en-US"/>
              </w:rPr>
            </w:pPr>
            <w:r>
              <w:rPr>
                <w:rFonts w:hint="eastAsia" w:ascii="仿宋_GB2312" w:hAnsi="仿宋_GB2312" w:eastAsia="仿宋_GB2312" w:cs="仿宋_GB2312"/>
                <w:i w:val="0"/>
                <w:color w:val="000000"/>
                <w:kern w:val="0"/>
                <w:sz w:val="36"/>
                <w:szCs w:val="36"/>
                <w:u w:val="none"/>
                <w:lang w:val="en-US" w:eastAsia="zh-CN" w:bidi="ar"/>
              </w:rPr>
              <w:t>31</w:t>
            </w:r>
          </w:p>
        </w:tc>
        <w:tc>
          <w:tcPr>
            <w:tcW w:w="18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6"/>
                <w:szCs w:val="36"/>
                <w:u w:val="none"/>
                <w:lang w:val="en-US" w:eastAsia="zh-CN" w:bidi="ar"/>
              </w:rPr>
              <w:t>新疆维吾尔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自治区</w:t>
            </w:r>
          </w:p>
        </w:tc>
        <w:tc>
          <w:tcPr>
            <w:tcW w:w="64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巴州大力提升旅游应急能力 加强旅游安全保障</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659D8"/>
    <w:rsid w:val="3F96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line="580" w:lineRule="exact"/>
      <w:ind w:firstLine="880" w:firstLineChars="200"/>
    </w:pPr>
    <w:rPr>
      <w:rFonts w:eastAsia="方正仿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2023-12-07T01:45:00Z</dcterms:created>
  <dc:creator>MSW</dc:creator>
  <cp:lastModifiedBy>MSW</cp:lastModifiedBy>
  <dcterms:modified xsi:type="dcterms:W3CDTF">2023-12-07T01:45:44Z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