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rPr>
          <w:rFonts w:hint="eastAsia" w:ascii="黑体" w:hAnsi="黑体" w:eastAsia="黑体" w:cs="黑体"/>
          <w:kern w:val="0"/>
          <w:sz w:val="32"/>
          <w:szCs w:val="32"/>
        </w:rPr>
      </w:pPr>
      <w:bookmarkStart w:id="0" w:name="_GoBack"/>
      <w:bookmarkEnd w:id="0"/>
      <w:r>
        <w:rPr>
          <w:rFonts w:hint="eastAsia" w:ascii="黑体" w:hAnsi="黑体" w:eastAsia="黑体" w:cs="黑体"/>
          <w:kern w:val="0"/>
          <w:sz w:val="32"/>
          <w:szCs w:val="32"/>
          <w:lang w:val="en"/>
        </w:rPr>
        <w:t>附件</w:t>
      </w:r>
      <w:r>
        <w:rPr>
          <w:rFonts w:hint="eastAsia" w:ascii="黑体" w:hAnsi="黑体" w:eastAsia="黑体" w:cs="黑体"/>
          <w:kern w:val="0"/>
          <w:sz w:val="32"/>
          <w:szCs w:val="32"/>
        </w:rPr>
        <w:t>3</w:t>
      </w:r>
    </w:p>
    <w:p>
      <w:pPr>
        <w:widowControl/>
        <w:spacing w:line="300" w:lineRule="auto"/>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体育旅游精品线路申报表</w:t>
      </w:r>
    </w:p>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申报单位                                       年   月   日</w:t>
      </w:r>
    </w:p>
    <w:tbl>
      <w:tblPr>
        <w:tblStyle w:val="5"/>
        <w:tblW w:w="9179" w:type="dxa"/>
        <w:jc w:val="center"/>
        <w:tblLayout w:type="fixed"/>
        <w:tblCellMar>
          <w:top w:w="0" w:type="dxa"/>
          <w:left w:w="108" w:type="dxa"/>
          <w:bottom w:w="0" w:type="dxa"/>
          <w:right w:w="108" w:type="dxa"/>
        </w:tblCellMar>
      </w:tblPr>
      <w:tblGrid>
        <w:gridCol w:w="1714"/>
        <w:gridCol w:w="2899"/>
        <w:gridCol w:w="1470"/>
        <w:gridCol w:w="3096"/>
      </w:tblGrid>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线路名称</w:t>
            </w:r>
          </w:p>
        </w:tc>
        <w:tc>
          <w:tcPr>
            <w:tcW w:w="746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申报单位</w:t>
            </w:r>
          </w:p>
        </w:tc>
        <w:tc>
          <w:tcPr>
            <w:tcW w:w="746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职务</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办公电话</w:t>
            </w: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移动电话</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电子邮箱</w:t>
            </w: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通讯地址</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主管部门</w:t>
            </w:r>
          </w:p>
        </w:tc>
        <w:tc>
          <w:tcPr>
            <w:tcW w:w="746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2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c>
          <w:tcPr>
            <w:tcW w:w="147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职务</w:t>
            </w:r>
          </w:p>
        </w:tc>
        <w:tc>
          <w:tcPr>
            <w:tcW w:w="309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办公电话</w:t>
            </w:r>
          </w:p>
        </w:tc>
        <w:tc>
          <w:tcPr>
            <w:tcW w:w="2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c>
          <w:tcPr>
            <w:tcW w:w="147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移动电话</w:t>
            </w:r>
          </w:p>
        </w:tc>
        <w:tc>
          <w:tcPr>
            <w:tcW w:w="309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20" w:hRule="atLeast"/>
          <w:jc w:val="center"/>
        </w:trPr>
        <w:tc>
          <w:tcPr>
            <w:tcW w:w="46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hint="eastAsia" w:ascii="仿宋_GB2312" w:hAnsi="仿宋_GB2312" w:eastAsia="仿宋_GB2312" w:cs="仿宋_GB2312"/>
                <w:color w:val="C00000"/>
                <w:kern w:val="0"/>
                <w:sz w:val="28"/>
                <w:szCs w:val="28"/>
              </w:rPr>
            </w:pPr>
            <w:r>
              <w:rPr>
                <w:rFonts w:hint="eastAsia" w:ascii="仿宋_GB2312" w:hAnsi="仿宋_GB2312" w:eastAsia="仿宋_GB2312" w:cs="仿宋_GB2312"/>
                <w:kern w:val="0"/>
                <w:sz w:val="28"/>
                <w:szCs w:val="28"/>
              </w:rPr>
              <w:t>线路串联的景区级别及总长度</w:t>
            </w:r>
          </w:p>
        </w:tc>
        <w:tc>
          <w:tcPr>
            <w:tcW w:w="45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uto"/>
              <w:rPr>
                <w:rFonts w:hint="eastAsia" w:ascii="仿宋_GB2312" w:hAnsi="仿宋_GB2312" w:eastAsia="仿宋_GB2312" w:cs="仿宋_GB2312"/>
                <w:color w:val="C00000"/>
                <w:kern w:val="0"/>
                <w:sz w:val="28"/>
                <w:szCs w:val="28"/>
              </w:rPr>
            </w:pPr>
            <w:r>
              <w:rPr>
                <w:rFonts w:hint="eastAsia" w:ascii="仿宋_GB2312" w:hAnsi="仿宋_GB2312" w:eastAsia="仿宋_GB2312" w:cs="仿宋_GB2312"/>
                <w:kern w:val="0"/>
                <w:sz w:val="28"/>
                <w:szCs w:val="28"/>
              </w:rPr>
              <w:t xml:space="preserve">景区级别:         总长度:    </w:t>
            </w:r>
          </w:p>
        </w:tc>
      </w:tr>
      <w:tr>
        <w:trPr>
          <w:trHeight w:val="62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安全要求：</w:t>
            </w:r>
            <w:r>
              <w:rPr>
                <w:rFonts w:hint="eastAsia" w:ascii="仿宋_GB2312" w:hAnsi="仿宋_GB2312" w:eastAsia="仿宋_GB2312" w:cs="仿宋_GB2312"/>
                <w:kern w:val="0"/>
                <w:sz w:val="28"/>
                <w:szCs w:val="28"/>
                <w:lang w:eastAsia="zh-CN"/>
              </w:rPr>
              <w:t>报送线路</w:t>
            </w:r>
            <w:r>
              <w:rPr>
                <w:rFonts w:hint="eastAsia" w:ascii="仿宋_GB2312" w:hAnsi="仿宋_GB2312" w:eastAsia="仿宋_GB2312" w:cs="仿宋_GB2312"/>
                <w:kern w:val="0"/>
                <w:sz w:val="28"/>
                <w:szCs w:val="28"/>
                <w:lang w:val="en" w:eastAsia="zh-CN"/>
              </w:rPr>
              <w:t>严格</w:t>
            </w:r>
            <w:r>
              <w:rPr>
                <w:rFonts w:hint="eastAsia" w:ascii="仿宋_GB2312" w:hAnsi="仿宋_GB2312" w:eastAsia="仿宋_GB2312" w:cs="仿宋_GB2312"/>
                <w:kern w:val="0"/>
                <w:sz w:val="28"/>
                <w:szCs w:val="28"/>
                <w:lang w:val="en"/>
              </w:rPr>
              <w:t>落实安全生产主体责任</w:t>
            </w:r>
            <w:r>
              <w:rPr>
                <w:rFonts w:hint="eastAsia" w:ascii="仿宋_GB2312" w:hAnsi="仿宋_GB2312" w:eastAsia="仿宋_GB2312" w:cs="仿宋_GB2312"/>
                <w:kern w:val="0"/>
                <w:sz w:val="28"/>
                <w:szCs w:val="28"/>
                <w:lang w:val="en" w:eastAsia="zh-CN"/>
              </w:rPr>
              <w:t>，</w:t>
            </w:r>
            <w:r>
              <w:rPr>
                <w:rFonts w:hint="eastAsia" w:ascii="仿宋_GB2312" w:hAnsi="仿宋_GB2312" w:eastAsia="仿宋_GB2312" w:cs="仿宋_GB2312"/>
                <w:kern w:val="0"/>
                <w:sz w:val="28"/>
                <w:szCs w:val="28"/>
                <w:lang w:eastAsia="zh-CN"/>
              </w:rPr>
              <w:t>安全管理制度健全</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
              </w:rPr>
              <w:t>3</w:t>
            </w:r>
            <w:r>
              <w:rPr>
                <w:rFonts w:hint="eastAsia" w:ascii="仿宋_GB2312" w:hAnsi="仿宋_GB2312" w:eastAsia="仿宋_GB2312" w:cs="仿宋_GB2312"/>
                <w:kern w:val="0"/>
                <w:sz w:val="28"/>
                <w:szCs w:val="28"/>
              </w:rPr>
              <w:t>年以</w:t>
            </w:r>
            <w:r>
              <w:rPr>
                <w:rFonts w:hint="eastAsia" w:ascii="仿宋_GB2312" w:hAnsi="仿宋_GB2312" w:eastAsia="仿宋_GB2312" w:cs="仿宋_GB2312"/>
                <w:kern w:val="0"/>
                <w:sz w:val="28"/>
                <w:szCs w:val="28"/>
                <w:lang w:eastAsia="zh-CN"/>
              </w:rPr>
              <w:t>内未发生</w:t>
            </w:r>
            <w:r>
              <w:rPr>
                <w:rFonts w:hint="eastAsia" w:ascii="仿宋_GB2312" w:hAnsi="仿宋_GB2312" w:eastAsia="仿宋_GB2312" w:cs="仿宋_GB2312"/>
                <w:kern w:val="0"/>
                <w:sz w:val="28"/>
                <w:szCs w:val="28"/>
              </w:rPr>
              <w:t>安全事故，</w:t>
            </w:r>
            <w:r>
              <w:rPr>
                <w:rFonts w:hint="eastAsia" w:ascii="仿宋_GB2312" w:hAnsi="仿宋_GB2312" w:eastAsia="仿宋_GB2312" w:cs="仿宋_GB2312"/>
                <w:kern w:val="0"/>
                <w:sz w:val="28"/>
                <w:szCs w:val="28"/>
                <w:lang w:eastAsia="zh-CN"/>
              </w:rPr>
              <w:t>实现</w:t>
            </w:r>
            <w:r>
              <w:rPr>
                <w:rFonts w:hint="eastAsia" w:ascii="仿宋_GB2312" w:hAnsi="仿宋_GB2312" w:eastAsia="仿宋_GB2312" w:cs="仿宋_GB2312"/>
                <w:kern w:val="0"/>
                <w:sz w:val="28"/>
                <w:szCs w:val="28"/>
              </w:rPr>
              <w:t>安全</w:t>
            </w:r>
            <w:r>
              <w:rPr>
                <w:rFonts w:hint="eastAsia" w:ascii="仿宋_GB2312" w:hAnsi="仿宋_GB2312" w:eastAsia="仿宋_GB2312" w:cs="仿宋_GB2312"/>
                <w:kern w:val="0"/>
                <w:sz w:val="28"/>
                <w:szCs w:val="28"/>
                <w:lang w:eastAsia="zh-CN"/>
              </w:rPr>
              <w:t>运营。</w:t>
            </w:r>
          </w:p>
        </w:tc>
      </w:tr>
      <w:tr>
        <w:tblPrEx>
          <w:tblCellMar>
            <w:top w:w="0" w:type="dxa"/>
            <w:left w:w="108" w:type="dxa"/>
            <w:bottom w:w="0" w:type="dxa"/>
            <w:right w:w="108" w:type="dxa"/>
          </w:tblCellMar>
        </w:tblPrEx>
        <w:trPr>
          <w:trHeight w:val="546"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线路介绍</w:t>
            </w:r>
          </w:p>
        </w:tc>
      </w:tr>
      <w:tr>
        <w:trPr>
          <w:trHeight w:val="463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体育项目资源匹配情况：包括线路长度，旅游活动安排，与依托的体育项目匹配情况；开展的体育项目数量和质量；依托线路开展的运动会、体育赛事、节事、体育博（展）览会等项目的数量和质量；体育场馆、体育博物馆、体育遗迹、体育景观等体育资源利用情况。</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jc w:val="left"/>
              <w:rPr>
                <w:rFonts w:hint="eastAsia" w:ascii="仿宋_GB2312" w:hAnsi="仿宋_GB2312" w:eastAsia="仿宋_GB2312" w:cs="仿宋_GB2312"/>
                <w:kern w:val="0"/>
                <w:sz w:val="28"/>
                <w:szCs w:val="28"/>
              </w:rPr>
            </w:pPr>
          </w:p>
          <w:p>
            <w:pPr>
              <w:widowControl/>
              <w:spacing w:line="400" w:lineRule="exact"/>
              <w:jc w:val="left"/>
              <w:rPr>
                <w:rFonts w:hint="eastAsia" w:ascii="仿宋_GB2312" w:hAnsi="仿宋_GB2312" w:eastAsia="仿宋_GB2312" w:cs="仿宋_GB2312"/>
                <w:kern w:val="0"/>
                <w:sz w:val="28"/>
                <w:szCs w:val="28"/>
              </w:rPr>
            </w:pPr>
          </w:p>
          <w:p>
            <w:pPr>
              <w:widowControl/>
              <w:spacing w:line="400" w:lineRule="exact"/>
              <w:jc w:val="left"/>
              <w:rPr>
                <w:rFonts w:hint="eastAsia" w:ascii="仿宋_GB2312" w:hAnsi="仿宋_GB2312" w:eastAsia="仿宋_GB2312" w:cs="仿宋_GB2312"/>
                <w:kern w:val="0"/>
                <w:sz w:val="28"/>
                <w:szCs w:val="28"/>
              </w:rPr>
            </w:pPr>
          </w:p>
          <w:p>
            <w:pPr>
              <w:widowControl/>
              <w:spacing w:line="400" w:lineRule="exact"/>
              <w:jc w:val="left"/>
              <w:rPr>
                <w:rFonts w:hint="eastAsia" w:ascii="仿宋_GB2312" w:hAnsi="仿宋_GB2312" w:eastAsia="仿宋_GB2312" w:cs="仿宋_GB2312"/>
                <w:kern w:val="0"/>
                <w:sz w:val="28"/>
                <w:szCs w:val="28"/>
              </w:rPr>
            </w:pPr>
          </w:p>
          <w:p>
            <w:pPr>
              <w:widowControl/>
              <w:spacing w:line="400" w:lineRule="exact"/>
              <w:jc w:val="left"/>
              <w:rPr>
                <w:rFonts w:hint="eastAsia" w:ascii="仿宋_GB2312" w:hAnsi="仿宋_GB2312" w:eastAsia="仿宋_GB2312" w:cs="仿宋_GB2312"/>
                <w:kern w:val="0"/>
                <w:sz w:val="28"/>
                <w:szCs w:val="28"/>
              </w:rPr>
            </w:pPr>
          </w:p>
          <w:p>
            <w:pPr>
              <w:widowControl/>
              <w:spacing w:line="400" w:lineRule="exact"/>
              <w:jc w:val="left"/>
              <w:rPr>
                <w:rFonts w:hint="eastAsia" w:ascii="仿宋_GB2312" w:hAnsi="仿宋_GB2312" w:eastAsia="仿宋_GB2312" w:cs="仿宋_GB2312"/>
                <w:kern w:val="0"/>
                <w:sz w:val="28"/>
                <w:szCs w:val="28"/>
              </w:rPr>
            </w:pPr>
          </w:p>
          <w:p>
            <w:pPr>
              <w:widowControl/>
              <w:spacing w:line="400" w:lineRule="exact"/>
              <w:jc w:val="left"/>
              <w:rPr>
                <w:rFonts w:hint="eastAsia" w:ascii="仿宋_GB2312" w:hAnsi="仿宋_GB2312" w:eastAsia="仿宋_GB2312" w:cs="仿宋_GB2312"/>
                <w:kern w:val="0"/>
                <w:sz w:val="28"/>
                <w:szCs w:val="28"/>
              </w:rPr>
            </w:pPr>
          </w:p>
          <w:p>
            <w:pPr>
              <w:widowControl/>
              <w:spacing w:line="40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napToGrid w:val="0"/>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体育设备设施配备情况：是否有专业性、标准化的体育设备设施，相关体育设备设施的安全情况说明；专业指导人员、安全员、救护员及服务人员的数量和比例；重点岗位服务人员的专业资质与技能培训情况。（</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color w:val="000000"/>
                <w:kern w:val="0"/>
                <w:sz w:val="28"/>
                <w:szCs w:val="28"/>
              </w:rPr>
              <w:t>交通、通讯设备设施配备和服务情况</w:t>
            </w:r>
            <w:r>
              <w:rPr>
                <w:rFonts w:hint="eastAsia" w:ascii="仿宋_GB2312" w:hAnsi="仿宋_GB2312" w:eastAsia="仿宋_GB2312" w:cs="仿宋_GB2312"/>
                <w:kern w:val="0"/>
                <w:sz w:val="28"/>
                <w:szCs w:val="28"/>
              </w:rPr>
              <w:t>：包括但不限于</w:t>
            </w:r>
            <w:r>
              <w:rPr>
                <w:rFonts w:hint="eastAsia" w:ascii="仿宋_GB2312" w:hAnsi="仿宋_GB2312" w:eastAsia="仿宋_GB2312" w:cs="仿宋_GB2312"/>
                <w:color w:val="000000"/>
                <w:kern w:val="0"/>
                <w:sz w:val="28"/>
                <w:szCs w:val="28"/>
              </w:rPr>
              <w:t>线路进入性说明；道路等级，近</w:t>
            </w:r>
            <w:r>
              <w:rPr>
                <w:rFonts w:hint="eastAsia" w:ascii="仿宋_GB2312" w:hAnsi="仿宋_GB2312" w:eastAsia="仿宋_GB2312" w:cs="仿宋_GB2312"/>
                <w:color w:val="000000"/>
                <w:kern w:val="0"/>
                <w:sz w:val="28"/>
                <w:szCs w:val="28"/>
                <w:lang w:val="en"/>
              </w:rPr>
              <w:t>3</w:t>
            </w:r>
            <w:r>
              <w:rPr>
                <w:rFonts w:hint="eastAsia" w:ascii="仿宋_GB2312" w:hAnsi="仿宋_GB2312" w:eastAsia="仿宋_GB2312" w:cs="仿宋_GB2312"/>
                <w:color w:val="000000"/>
                <w:kern w:val="0"/>
                <w:sz w:val="28"/>
                <w:szCs w:val="28"/>
              </w:rPr>
              <w:t>年年均旅游者数量和</w:t>
            </w:r>
            <w:r>
              <w:rPr>
                <w:rFonts w:hint="eastAsia" w:ascii="仿宋_GB2312" w:hAnsi="仿宋_GB2312" w:eastAsia="仿宋_GB2312" w:cs="仿宋_GB2312"/>
                <w:color w:val="000000"/>
                <w:kern w:val="0"/>
                <w:sz w:val="28"/>
                <w:szCs w:val="28"/>
                <w:lang w:eastAsia="zh-CN"/>
              </w:rPr>
              <w:t>国庆、春节假期</w:t>
            </w:r>
            <w:r>
              <w:rPr>
                <w:rFonts w:hint="eastAsia" w:ascii="仿宋_GB2312" w:hAnsi="仿宋_GB2312" w:eastAsia="仿宋_GB2312" w:cs="仿宋_GB2312"/>
                <w:color w:val="000000"/>
                <w:kern w:val="0"/>
                <w:sz w:val="28"/>
                <w:szCs w:val="28"/>
              </w:rPr>
              <w:t>旅游者数量，主要旅游交通工具类型等；停车场或船舶码头的数量、位置、容量等；通讯设备设施保障情况，有无信号盲区等。</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463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color w:val="000000"/>
                <w:kern w:val="0"/>
                <w:sz w:val="28"/>
                <w:szCs w:val="28"/>
              </w:rPr>
              <w:t>适游性及相关服务设施：包括线路或沿途旅游吸引物要素情况；适游人群范围情况；适游时间情况；游客服务中心或服务点、环保卫生间和休息台/椅，观赏专门区域／设施、食宿购物等配套各项适游设施设备配备和分布情况。</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color w:val="000000"/>
                <w:kern w:val="0"/>
                <w:sz w:val="28"/>
                <w:szCs w:val="28"/>
              </w:rPr>
              <w:t>安全保障措施：包括线路运营机构体育旅游安全组织领导制度建立情况；体育运动安全和旅游安全管理相关规章制度建立情况；突发事件应急预案制定及演练情况；线路值勤安全员（救护员）、急救药箱配备情况；线路运营机构安全生产类责任保险购买情况</w:t>
            </w:r>
            <w:r>
              <w:rPr>
                <w:rFonts w:hint="eastAsia" w:ascii="仿宋_GB2312" w:hAnsi="仿宋_GB2312" w:eastAsia="仿宋_GB2312" w:cs="仿宋_GB2312"/>
                <w:color w:val="000000"/>
                <w:kern w:val="0"/>
                <w:sz w:val="28"/>
                <w:szCs w:val="28"/>
                <w:lang w:eastAsia="zh-CN"/>
              </w:rPr>
              <w:t>等</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请一并</w:t>
            </w:r>
            <w:r>
              <w:rPr>
                <w:rFonts w:hint="eastAsia" w:ascii="仿宋_GB2312" w:hAnsi="仿宋_GB2312" w:eastAsia="仿宋_GB2312" w:cs="仿宋_GB2312"/>
                <w:kern w:val="0"/>
                <w:sz w:val="28"/>
                <w:szCs w:val="28"/>
              </w:rPr>
              <w:t>上传相应配套文件、证书等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（500字以内）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270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color w:val="000000"/>
                <w:kern w:val="0"/>
                <w:sz w:val="28"/>
                <w:szCs w:val="28"/>
              </w:rPr>
              <w:t>环境保护措施</w:t>
            </w:r>
            <w:r>
              <w:rPr>
                <w:rFonts w:hint="eastAsia" w:ascii="仿宋_GB2312" w:hAnsi="仿宋_GB2312" w:eastAsia="仿宋_GB2312" w:cs="仿宋_GB2312"/>
                <w:kern w:val="0"/>
                <w:sz w:val="28"/>
                <w:szCs w:val="28"/>
              </w:rPr>
              <w:t>：包括落实</w:t>
            </w:r>
            <w:r>
              <w:rPr>
                <w:rFonts w:hint="eastAsia" w:ascii="仿宋_GB2312" w:hAnsi="仿宋_GB2312" w:eastAsia="仿宋_GB2312" w:cs="仿宋_GB2312"/>
                <w:color w:val="000000"/>
                <w:kern w:val="0"/>
                <w:sz w:val="28"/>
                <w:szCs w:val="28"/>
              </w:rPr>
              <w:t>国家生态保护要求的相关措施；游客环保教育和环保规范措施情况；垃圾日清等环保工作机制和员工环保培训等规章制度建立与执行情况。</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rPr>
          <w:trHeight w:val="393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color w:val="000000"/>
                <w:kern w:val="0"/>
                <w:sz w:val="28"/>
                <w:szCs w:val="28"/>
              </w:rPr>
              <w:t>营销推广和品牌影响力</w:t>
            </w:r>
            <w:r>
              <w:rPr>
                <w:rFonts w:hint="eastAsia" w:ascii="仿宋_GB2312" w:hAnsi="仿宋_GB2312" w:eastAsia="仿宋_GB2312" w:cs="仿宋_GB2312"/>
                <w:kern w:val="0"/>
                <w:sz w:val="28"/>
                <w:szCs w:val="28"/>
              </w:rPr>
              <w:t>：包括</w:t>
            </w:r>
            <w:r>
              <w:rPr>
                <w:rFonts w:hint="eastAsia" w:ascii="仿宋_GB2312" w:hAnsi="仿宋_GB2312" w:eastAsia="仿宋_GB2312" w:cs="仿宋_GB2312"/>
                <w:color w:val="000000"/>
                <w:kern w:val="0"/>
                <w:sz w:val="28"/>
                <w:szCs w:val="28"/>
              </w:rPr>
              <w:t>线路主要营销措施，前期推广覆盖市场范围情况；传统媒体、新媒体、市场营销和广告推销等传播渠道营销情况；线路商标权、专有名称权或其他体育旅游线路品牌相关权益的开发情况。</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270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r>
              <w:rPr>
                <w:rFonts w:hint="eastAsia" w:ascii="仿宋_GB2312" w:hAnsi="仿宋_GB2312" w:eastAsia="仿宋_GB2312" w:cs="仿宋_GB2312"/>
                <w:color w:val="000000"/>
                <w:kern w:val="0"/>
                <w:sz w:val="28"/>
                <w:szCs w:val="28"/>
              </w:rPr>
              <w:t>可持续发展：包括体育旅游线路主题与区域发展、社会发展和民族发展等国家政策的融合情况；近</w:t>
            </w:r>
            <w:r>
              <w:rPr>
                <w:rFonts w:hint="eastAsia" w:ascii="仿宋_GB2312" w:hAnsi="仿宋_GB2312" w:eastAsia="仿宋_GB2312" w:cs="仿宋_GB2312"/>
                <w:color w:val="000000"/>
                <w:kern w:val="0"/>
                <w:sz w:val="28"/>
                <w:szCs w:val="28"/>
                <w:lang w:val="en"/>
              </w:rPr>
              <w:t>3</w:t>
            </w:r>
            <w:r>
              <w:rPr>
                <w:rFonts w:hint="eastAsia" w:ascii="仿宋_GB2312" w:hAnsi="仿宋_GB2312" w:eastAsia="仿宋_GB2312" w:cs="仿宋_GB2312"/>
                <w:color w:val="000000"/>
                <w:kern w:val="0"/>
                <w:sz w:val="28"/>
                <w:szCs w:val="28"/>
              </w:rPr>
              <w:t>年体育旅游线路参与游客人数的年度变化情况。</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rPr>
          <w:trHeight w:val="3461"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r>
              <w:rPr>
                <w:rFonts w:hint="eastAsia" w:ascii="仿宋_GB2312" w:hAnsi="仿宋_GB2312" w:eastAsia="仿宋_GB2312" w:cs="仿宋_GB2312"/>
                <w:kern w:val="0"/>
                <w:sz w:val="28"/>
                <w:szCs w:val="28"/>
                <w:lang w:eastAsia="zh-CN"/>
              </w:rPr>
              <w:t>与</w:t>
            </w:r>
            <w:r>
              <w:rPr>
                <w:rFonts w:hint="eastAsia" w:ascii="仿宋_GB2312" w:hAnsi="仿宋_GB2312" w:eastAsia="仿宋_GB2312" w:cs="仿宋_GB2312"/>
                <w:color w:val="000000"/>
                <w:kern w:val="0"/>
                <w:sz w:val="28"/>
                <w:szCs w:val="28"/>
              </w:rPr>
              <w:t>文化</w:t>
            </w:r>
            <w:r>
              <w:rPr>
                <w:rFonts w:hint="eastAsia" w:ascii="仿宋_GB2312" w:hAnsi="仿宋_GB2312" w:eastAsia="仿宋_GB2312" w:cs="仿宋_GB2312"/>
                <w:color w:val="000000"/>
                <w:kern w:val="0"/>
                <w:sz w:val="28"/>
                <w:szCs w:val="28"/>
                <w:lang w:eastAsia="zh-CN"/>
              </w:rPr>
              <w:t>等</w:t>
            </w:r>
            <w:r>
              <w:rPr>
                <w:rFonts w:hint="eastAsia" w:ascii="仿宋_GB2312" w:hAnsi="仿宋_GB2312" w:eastAsia="仿宋_GB2312" w:cs="仿宋_GB2312"/>
                <w:color w:val="000000"/>
                <w:kern w:val="0"/>
                <w:sz w:val="28"/>
                <w:szCs w:val="28"/>
              </w:rPr>
              <w:t>特色元素融合情况：包括文化特色总体表现情况；教育元素、大健康元素、康养元素等其他特色元素的融合情况等。</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00字以内）</w:t>
            </w: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p>
            <w:pPr>
              <w:widowControl/>
              <w:spacing w:line="400" w:lineRule="exac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3461"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color w:val="000000"/>
                <w:kern w:val="0"/>
                <w:sz w:val="28"/>
                <w:szCs w:val="28"/>
              </w:rPr>
              <w:t>申报单位</w:t>
            </w:r>
            <w:r>
              <w:rPr>
                <w:rFonts w:hint="eastAsia" w:ascii="仿宋_GB2312" w:hAnsi="仿宋_GB2312" w:eastAsia="仿宋_GB2312" w:cs="仿宋_GB2312"/>
                <w:color w:val="000000"/>
                <w:kern w:val="0"/>
                <w:sz w:val="28"/>
                <w:szCs w:val="28"/>
                <w:lang w:val="en-US" w:eastAsia="zh-CN"/>
              </w:rPr>
              <w:t>202</w:t>
            </w:r>
            <w:r>
              <w:rPr>
                <w:rFonts w:hint="eastAsia" w:ascii="仿宋_GB2312" w:hAnsi="仿宋_GB2312" w:eastAsia="仿宋_GB2312" w:cs="仿宋_GB2312"/>
                <w:color w:val="000000"/>
                <w:kern w:val="0"/>
                <w:sz w:val="28"/>
                <w:szCs w:val="28"/>
                <w:lang w:val="en-US" w:eastAsia="zh-CN"/>
              </w:rPr>
              <w:t>1年至今</w:t>
            </w:r>
            <w:r>
              <w:rPr>
                <w:rFonts w:hint="eastAsia" w:ascii="仿宋_GB2312" w:hAnsi="仿宋_GB2312" w:eastAsia="仿宋_GB2312" w:cs="仿宋_GB2312"/>
                <w:color w:val="000000"/>
                <w:kern w:val="0"/>
                <w:sz w:val="28"/>
                <w:szCs w:val="28"/>
              </w:rPr>
              <w:t>无违法违规等行为记录和未发生重大安全</w:t>
            </w:r>
            <w:r>
              <w:rPr>
                <w:rFonts w:hint="eastAsia" w:ascii="仿宋_GB2312" w:hAnsi="仿宋_GB2312" w:eastAsia="仿宋_GB2312" w:cs="仿宋_GB2312"/>
                <w:color w:val="000000"/>
                <w:kern w:val="0"/>
                <w:sz w:val="28"/>
                <w:szCs w:val="28"/>
                <w:lang w:eastAsia="zh-CN"/>
              </w:rPr>
              <w:t>生产</w:t>
            </w:r>
            <w:r>
              <w:rPr>
                <w:rFonts w:hint="eastAsia" w:ascii="仿宋_GB2312" w:hAnsi="仿宋_GB2312" w:eastAsia="仿宋_GB2312" w:cs="仿宋_GB2312"/>
                <w:color w:val="000000"/>
                <w:kern w:val="0"/>
                <w:sz w:val="28"/>
                <w:szCs w:val="28"/>
              </w:rPr>
              <w:t>责任事故的承诺书</w:t>
            </w:r>
          </w:p>
          <w:p>
            <w:pPr>
              <w:spacing w:line="324" w:lineRule="auto"/>
              <w:ind w:firstLine="560" w:firstLineChars="200"/>
              <w:rPr>
                <w:rFonts w:hint="eastAsia" w:ascii="仿宋_GB2312" w:hAnsi="仿宋_GB2312" w:eastAsia="仿宋_GB2312" w:cs="仿宋_GB2312"/>
                <w:color w:val="000000"/>
                <w:kern w:val="0"/>
                <w:sz w:val="28"/>
                <w:szCs w:val="28"/>
              </w:rPr>
            </w:pPr>
          </w:p>
          <w:p>
            <w:pPr>
              <w:spacing w:line="324" w:lineRule="auto"/>
              <w:ind w:firstLine="560" w:firstLineChars="200"/>
              <w:rPr>
                <w:rFonts w:hint="eastAsia" w:ascii="仿宋_GB2312" w:hAnsi="仿宋_GB2312" w:eastAsia="仿宋_GB2312" w:cs="仿宋_GB2312"/>
                <w:sz w:val="24"/>
              </w:rPr>
            </w:pPr>
            <w:r>
              <w:rPr>
                <w:rFonts w:hint="eastAsia" w:ascii="仿宋_GB2312" w:hAnsi="仿宋_GB2312" w:eastAsia="仿宋_GB2312" w:cs="仿宋_GB2312"/>
                <w:color w:val="000000"/>
                <w:kern w:val="0"/>
                <w:sz w:val="28"/>
                <w:szCs w:val="28"/>
              </w:rPr>
              <w:t>本单位承诺，</w:t>
            </w:r>
            <w:r>
              <w:rPr>
                <w:rFonts w:hint="eastAsia" w:ascii="仿宋_GB2312" w:hAnsi="仿宋_GB2312" w:eastAsia="仿宋_GB2312" w:cs="仿宋_GB2312"/>
                <w:color w:val="000000"/>
                <w:kern w:val="0"/>
                <w:sz w:val="28"/>
                <w:szCs w:val="28"/>
                <w:lang w:eastAsia="zh-CN"/>
              </w:rPr>
              <w:t>该线路上的各个项目无违法违规记录</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严格落实安全生产主体责任</w:t>
            </w:r>
            <w:r>
              <w:rPr>
                <w:rFonts w:hint="eastAsia" w:ascii="仿宋_GB2312" w:hAnsi="仿宋_GB2312" w:eastAsia="仿宋_GB2312" w:cs="仿宋_GB2312"/>
                <w:color w:val="000000"/>
                <w:kern w:val="0"/>
                <w:sz w:val="28"/>
                <w:szCs w:val="28"/>
                <w:lang w:val="en" w:eastAsia="zh-CN"/>
              </w:rPr>
              <w:t>，安全投入到位，安全培训到位、安全基础管理到位、安全应急救援到位，</w:t>
            </w:r>
            <w:r>
              <w:rPr>
                <w:rFonts w:hint="eastAsia" w:ascii="仿宋_GB2312" w:hAnsi="仿宋_GB2312" w:eastAsia="仿宋_GB2312" w:cs="仿宋_GB2312"/>
                <w:color w:val="000000"/>
                <w:kern w:val="0"/>
                <w:sz w:val="28"/>
                <w:szCs w:val="28"/>
                <w:lang w:val="en-US" w:eastAsia="zh-CN"/>
              </w:rPr>
              <w:t>2021</w:t>
            </w:r>
            <w:r>
              <w:rPr>
                <w:rFonts w:hint="eastAsia" w:ascii="仿宋_GB2312" w:hAnsi="仿宋_GB2312" w:eastAsia="仿宋_GB2312" w:cs="仿宋_GB2312"/>
                <w:color w:val="000000"/>
                <w:kern w:val="0"/>
                <w:sz w:val="28"/>
                <w:szCs w:val="28"/>
                <w:lang w:val="en-US" w:eastAsia="zh-CN"/>
              </w:rPr>
              <w:t>年</w:t>
            </w:r>
            <w:r>
              <w:rPr>
                <w:rFonts w:hint="eastAsia" w:ascii="仿宋_GB2312" w:hAnsi="仿宋_GB2312" w:eastAsia="仿宋_GB2312" w:cs="仿宋_GB2312"/>
                <w:color w:val="000000"/>
                <w:kern w:val="0"/>
                <w:sz w:val="28"/>
                <w:szCs w:val="28"/>
                <w:lang w:val="en-US" w:eastAsia="zh-CN"/>
              </w:rPr>
              <w:t>至今</w:t>
            </w:r>
            <w:r>
              <w:rPr>
                <w:rFonts w:hint="eastAsia" w:ascii="仿宋_GB2312" w:hAnsi="仿宋_GB2312" w:eastAsia="仿宋_GB2312" w:cs="仿宋_GB2312"/>
                <w:color w:val="000000"/>
                <w:kern w:val="0"/>
                <w:sz w:val="28"/>
                <w:szCs w:val="28"/>
              </w:rPr>
              <w:t>未发生重大安全责任事故</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无严重失信行为。      </w:t>
            </w: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4"/>
                <w:lang w:val="en-US" w:eastAsia="zh-CN"/>
              </w:rPr>
              <w:t xml:space="preserve">                                </w:t>
            </w:r>
          </w:p>
        </w:tc>
      </w:tr>
    </w:tbl>
    <w:p>
      <w:pPr>
        <w:rPr>
          <w:rFonts w:hint="eastAsia" w:ascii="仿宋_GB2312" w:hAnsi="仿宋_GB2312" w:eastAsia="仿宋_GB2312" w:cs="仿宋_GB2312"/>
          <w:kern w:val="0"/>
        </w:rPr>
      </w:pPr>
    </w:p>
    <w:p>
      <w:pP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线路图、实景图及简介（500字以内）：</w:t>
      </w:r>
    </w:p>
    <w:p>
      <w:pPr>
        <w:rPr>
          <w:rFonts w:hint="eastAsia" w:ascii="仿宋_GB2312" w:hAnsi="仿宋_GB2312" w:eastAsia="仿宋_GB2312" w:cs="仿宋_GB2312"/>
          <w:b/>
          <w:color w:val="000000"/>
          <w:kern w:val="0"/>
          <w:sz w:val="28"/>
          <w:szCs w:val="28"/>
        </w:rPr>
      </w:pPr>
    </w:p>
    <w:p>
      <w:pPr>
        <w:rPr>
          <w:rFonts w:hint="eastAsia" w:ascii="仿宋_GB2312" w:hAnsi="仿宋_GB2312" w:eastAsia="仿宋_GB2312" w:cs="仿宋_GB2312"/>
          <w:b/>
          <w:color w:val="000000"/>
          <w:kern w:val="0"/>
          <w:sz w:val="28"/>
          <w:szCs w:val="28"/>
        </w:rPr>
      </w:pPr>
    </w:p>
    <w:p>
      <w:pPr>
        <w:rPr>
          <w:rFonts w:hint="eastAsia" w:ascii="仿宋_GB2312" w:hAnsi="仿宋_GB2312" w:eastAsia="仿宋_GB2312" w:cs="仿宋_GB2312"/>
          <w:b/>
          <w:color w:val="000000"/>
          <w:kern w:val="0"/>
          <w:sz w:val="28"/>
          <w:szCs w:val="28"/>
        </w:rPr>
      </w:pPr>
    </w:p>
    <w:p>
      <w:pPr>
        <w:rPr>
          <w:rFonts w:hint="eastAsia" w:ascii="仿宋_GB2312" w:hAnsi="仿宋_GB2312" w:eastAsia="仿宋_GB2312" w:cs="仿宋_GB2312"/>
          <w:b/>
          <w:color w:val="000000"/>
          <w:kern w:val="0"/>
          <w:sz w:val="28"/>
          <w:szCs w:val="28"/>
        </w:rPr>
      </w:pPr>
    </w:p>
    <w:p>
      <w:pPr>
        <w:rPr>
          <w:rFonts w:hint="eastAsia" w:ascii="仿宋_GB2312" w:hAnsi="仿宋_GB2312" w:eastAsia="仿宋_GB2312" w:cs="仿宋_GB2312"/>
          <w:b/>
          <w:color w:val="000000"/>
          <w:kern w:val="0"/>
          <w:sz w:val="28"/>
          <w:szCs w:val="28"/>
        </w:rPr>
      </w:pPr>
    </w:p>
    <w:p>
      <w:pPr>
        <w:rPr>
          <w:rFonts w:hint="eastAsia" w:ascii="仿宋_GB2312" w:hAnsi="仿宋_GB2312" w:eastAsia="仿宋_GB2312" w:cs="仿宋_GB2312"/>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r>
        <w:rPr>
          <w:rFonts w:hint="eastAsia" w:ascii="仿宋" w:hAnsi="仿宋" w:eastAsia="仿宋" w:cs="Times"/>
          <w:b/>
          <w:color w:val="000000"/>
          <w:kern w:val="0"/>
          <w:sz w:val="28"/>
          <w:szCs w:val="28"/>
        </w:rPr>
        <w:br w:type="page"/>
      </w: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r>
        <w:rPr>
          <w:rFonts w:hint="eastAsia" w:ascii="仿宋" w:hAnsi="仿宋" w:eastAsia="仿宋" w:cs="Times"/>
          <w:b/>
          <w:color w:val="000000"/>
          <w:kern w:val="0"/>
          <w:sz w:val="28"/>
          <w:szCs w:val="28"/>
        </w:rPr>
        <w:t>填表说明：</w:t>
      </w:r>
    </w:p>
    <w:p>
      <w:pPr>
        <w:ind w:firstLine="570"/>
        <w:rPr>
          <w:rFonts w:ascii="仿宋" w:hAnsi="仿宋" w:eastAsia="仿宋" w:cs="Times"/>
          <w:kern w:val="0"/>
          <w:sz w:val="28"/>
          <w:szCs w:val="28"/>
        </w:rPr>
      </w:pPr>
      <w:r>
        <w:rPr>
          <w:rFonts w:ascii="仿宋" w:hAnsi="仿宋" w:eastAsia="仿宋" w:cs="Times"/>
          <w:b w:val="0"/>
          <w:color w:val="000000"/>
          <w:kern w:val="0"/>
          <w:sz w:val="28"/>
          <w:szCs w:val="28"/>
        </w:rPr>
        <w:t>1.</w:t>
      </w:r>
      <w:r>
        <w:rPr>
          <w:rFonts w:hint="eastAsia" w:ascii="仿宋" w:hAnsi="仿宋" w:eastAsia="仿宋" w:cs="Times"/>
          <w:kern w:val="0"/>
          <w:sz w:val="28"/>
          <w:szCs w:val="28"/>
        </w:rPr>
        <w:t xml:space="preserve">此表通过 </w:t>
      </w:r>
      <w:r>
        <w:rPr>
          <w:rFonts w:hint="eastAsia" w:ascii="仿宋" w:hAnsi="仿宋" w:eastAsia="仿宋" w:cs="Times"/>
          <w:kern w:val="0"/>
          <w:sz w:val="28"/>
          <w:szCs w:val="28"/>
        </w:rPr>
        <w:fldChar w:fldCharType="begin"/>
      </w:r>
      <w:r>
        <w:rPr>
          <w:rFonts w:hint="eastAsia" w:ascii="仿宋" w:hAnsi="仿宋" w:eastAsia="仿宋" w:cs="Times"/>
          <w:kern w:val="0"/>
          <w:sz w:val="28"/>
          <w:szCs w:val="28"/>
        </w:rPr>
        <w:instrText xml:space="preserve"> HYPERLINK "http://www.51yundong.me/tour" </w:instrText>
      </w:r>
      <w:r>
        <w:rPr>
          <w:rFonts w:hint="eastAsia" w:ascii="仿宋" w:hAnsi="仿宋" w:eastAsia="仿宋" w:cs="Times"/>
          <w:kern w:val="0"/>
          <w:sz w:val="28"/>
          <w:szCs w:val="28"/>
        </w:rPr>
        <w:fldChar w:fldCharType="separate"/>
      </w:r>
      <w:r>
        <w:rPr>
          <w:rFonts w:hint="eastAsia" w:ascii="仿宋" w:hAnsi="仿宋" w:eastAsia="仿宋" w:cs="Times"/>
          <w:kern w:val="0"/>
          <w:sz w:val="28"/>
          <w:szCs w:val="28"/>
        </w:rPr>
        <w:t>http://www.51yundong.me/tour</w:t>
      </w:r>
      <w:r>
        <w:rPr>
          <w:rFonts w:hint="eastAsia" w:ascii="仿宋" w:hAnsi="仿宋" w:eastAsia="仿宋" w:cs="Times"/>
          <w:kern w:val="0"/>
          <w:sz w:val="28"/>
          <w:szCs w:val="28"/>
        </w:rPr>
        <w:fldChar w:fldCharType="end"/>
      </w:r>
      <w:r>
        <w:rPr>
          <w:rFonts w:hint="eastAsia" w:ascii="仿宋" w:hAnsi="仿宋" w:eastAsia="仿宋" w:cs="Times"/>
          <w:kern w:val="0"/>
          <w:sz w:val="28"/>
          <w:szCs w:val="28"/>
        </w:rPr>
        <w:t>提交。</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2.申报表必须如实填写，应真实反映体育旅游线路的真实情况，发现虚拟填报的，取消评审资格，</w:t>
      </w:r>
      <w:r>
        <w:rPr>
          <w:rFonts w:hint="eastAsia" w:ascii="仿宋" w:hAnsi="仿宋" w:eastAsia="仿宋" w:cs="Times"/>
          <w:color w:val="000000"/>
          <w:kern w:val="0"/>
          <w:sz w:val="28"/>
          <w:szCs w:val="28"/>
          <w:lang w:eastAsia="zh-CN"/>
        </w:rPr>
        <w:t>且</w:t>
      </w:r>
      <w:r>
        <w:rPr>
          <w:rFonts w:hint="default" w:ascii="仿宋" w:hAnsi="仿宋" w:eastAsia="仿宋" w:cs="Times"/>
          <w:color w:val="000000"/>
          <w:kern w:val="0"/>
          <w:sz w:val="28"/>
          <w:szCs w:val="28"/>
          <w:lang w:val="en"/>
        </w:rPr>
        <w:t>3</w:t>
      </w:r>
      <w:r>
        <w:rPr>
          <w:rFonts w:hint="eastAsia" w:ascii="仿宋" w:hAnsi="仿宋" w:eastAsia="仿宋" w:cs="Times"/>
          <w:color w:val="000000"/>
          <w:kern w:val="0"/>
          <w:sz w:val="28"/>
          <w:szCs w:val="28"/>
        </w:rPr>
        <w:t>年内不得</w:t>
      </w:r>
      <w:r>
        <w:rPr>
          <w:rFonts w:hint="eastAsia" w:ascii="仿宋" w:hAnsi="仿宋" w:eastAsia="仿宋" w:cs="Times"/>
          <w:color w:val="000000"/>
          <w:kern w:val="0"/>
          <w:sz w:val="28"/>
          <w:szCs w:val="28"/>
          <w:lang w:eastAsia="zh-CN"/>
        </w:rPr>
        <w:t>再次</w:t>
      </w:r>
      <w:r>
        <w:rPr>
          <w:rFonts w:hint="eastAsia" w:ascii="仿宋" w:hAnsi="仿宋" w:eastAsia="仿宋" w:cs="Times"/>
          <w:color w:val="000000"/>
          <w:kern w:val="0"/>
          <w:sz w:val="28"/>
          <w:szCs w:val="28"/>
        </w:rPr>
        <w:t>申报。</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3.申报表所填内容应有实际证明材料和数据支持，如游客数量应有门票价格和收入等财务报表支持，责任保险应有保险单支持，商标应有商标注册证明支持。</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4.申报表相关证明材料可作为附件与申报表一并报送，但应按申报表中九项填写内容分类、分别制作成相应的文件包。</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5.申报单位指所申报体育旅游线路的运营管理单位。联系人请填写负责经营管理总体工作的相关人员，并保证评审过程中能及时取得联系，以核实申报信息。</w:t>
      </w:r>
    </w:p>
    <w:p>
      <w:pPr>
        <w:ind w:firstLine="570"/>
        <w:rPr>
          <w:rFonts w:ascii="仿宋" w:hAnsi="仿宋" w:eastAsia="仿宋" w:cs="Times"/>
          <w:kern w:val="0"/>
          <w:sz w:val="28"/>
          <w:szCs w:val="28"/>
        </w:rPr>
      </w:pPr>
      <w:r>
        <w:rPr>
          <w:rFonts w:hint="eastAsia" w:ascii="仿宋" w:hAnsi="仿宋" w:eastAsia="仿宋" w:cs="Times"/>
          <w:color w:val="000000"/>
          <w:kern w:val="0"/>
          <w:sz w:val="28"/>
          <w:szCs w:val="28"/>
        </w:rPr>
        <w:t>6.主管单位系指所申报体育旅游线路的业务主管部门，包括但不限体育主管部门、旅游主管部门或景区管委会属地政府业务主管部门。联系人请填写分管该项工作的相关人员，并保证评审过程中能及时取得联系，以核实申报信息。</w:t>
      </w:r>
    </w:p>
    <w:p>
      <w:pPr>
        <w:ind w:firstLine="570"/>
        <w:rPr>
          <w:rFonts w:ascii="仿宋" w:hAnsi="仿宋" w:eastAsia="仿宋" w:cs="Times"/>
          <w:kern w:val="0"/>
          <w:sz w:val="28"/>
          <w:szCs w:val="28"/>
        </w:rPr>
      </w:pPr>
    </w:p>
    <w:sectPr>
      <w:footerReference r:id="rId3" w:type="default"/>
      <w:footerReference r:id="rId4" w:type="even"/>
      <w:pgSz w:w="11906" w:h="16838"/>
      <w:pgMar w:top="1091" w:right="1797" w:bottom="109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imes">
    <w:altName w:val="Nimbus Roman No9 L"/>
    <w:panose1 w:val="020206030504050203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25"/>
    <w:rsid w:val="00011FFF"/>
    <w:rsid w:val="00023DB1"/>
    <w:rsid w:val="00053231"/>
    <w:rsid w:val="00063B1F"/>
    <w:rsid w:val="00072425"/>
    <w:rsid w:val="00091390"/>
    <w:rsid w:val="000B625D"/>
    <w:rsid w:val="000B76F9"/>
    <w:rsid w:val="000C16A2"/>
    <w:rsid w:val="000D48A9"/>
    <w:rsid w:val="00116911"/>
    <w:rsid w:val="00147B25"/>
    <w:rsid w:val="001729C4"/>
    <w:rsid w:val="0018423F"/>
    <w:rsid w:val="00197331"/>
    <w:rsid w:val="001A36FA"/>
    <w:rsid w:val="001B20AA"/>
    <w:rsid w:val="001C436B"/>
    <w:rsid w:val="001D6418"/>
    <w:rsid w:val="001F095F"/>
    <w:rsid w:val="001F1D3E"/>
    <w:rsid w:val="0023428B"/>
    <w:rsid w:val="00241EB2"/>
    <w:rsid w:val="002631AE"/>
    <w:rsid w:val="00297D5A"/>
    <w:rsid w:val="002B07BF"/>
    <w:rsid w:val="002C1A13"/>
    <w:rsid w:val="002D15EA"/>
    <w:rsid w:val="002F19F4"/>
    <w:rsid w:val="002F2659"/>
    <w:rsid w:val="002F7214"/>
    <w:rsid w:val="0036538F"/>
    <w:rsid w:val="003B2624"/>
    <w:rsid w:val="003C4A36"/>
    <w:rsid w:val="003D0EC4"/>
    <w:rsid w:val="0040432C"/>
    <w:rsid w:val="004168CB"/>
    <w:rsid w:val="0046749C"/>
    <w:rsid w:val="004A0E25"/>
    <w:rsid w:val="004A7EC0"/>
    <w:rsid w:val="004B7576"/>
    <w:rsid w:val="004C44E1"/>
    <w:rsid w:val="004E5289"/>
    <w:rsid w:val="004F60AF"/>
    <w:rsid w:val="00525B79"/>
    <w:rsid w:val="005345C4"/>
    <w:rsid w:val="00544AD5"/>
    <w:rsid w:val="005470F3"/>
    <w:rsid w:val="0057545F"/>
    <w:rsid w:val="00577C35"/>
    <w:rsid w:val="005A18B0"/>
    <w:rsid w:val="005A28A6"/>
    <w:rsid w:val="005D2C82"/>
    <w:rsid w:val="005E53AC"/>
    <w:rsid w:val="00603D14"/>
    <w:rsid w:val="0062599A"/>
    <w:rsid w:val="00645A7D"/>
    <w:rsid w:val="00654E9B"/>
    <w:rsid w:val="00667D53"/>
    <w:rsid w:val="0069535B"/>
    <w:rsid w:val="006A5734"/>
    <w:rsid w:val="006C4B57"/>
    <w:rsid w:val="006F234D"/>
    <w:rsid w:val="0073641B"/>
    <w:rsid w:val="00762606"/>
    <w:rsid w:val="00796F76"/>
    <w:rsid w:val="007D18D1"/>
    <w:rsid w:val="007F7A13"/>
    <w:rsid w:val="00841932"/>
    <w:rsid w:val="0085174F"/>
    <w:rsid w:val="008C4DA9"/>
    <w:rsid w:val="008C5064"/>
    <w:rsid w:val="008F78FF"/>
    <w:rsid w:val="0091037C"/>
    <w:rsid w:val="00910ED7"/>
    <w:rsid w:val="009405BB"/>
    <w:rsid w:val="00972CB2"/>
    <w:rsid w:val="0097654F"/>
    <w:rsid w:val="009862F5"/>
    <w:rsid w:val="00986E21"/>
    <w:rsid w:val="00992E42"/>
    <w:rsid w:val="009A35AF"/>
    <w:rsid w:val="009B4C99"/>
    <w:rsid w:val="009B5715"/>
    <w:rsid w:val="009D4416"/>
    <w:rsid w:val="009E483D"/>
    <w:rsid w:val="00A001B8"/>
    <w:rsid w:val="00A030E3"/>
    <w:rsid w:val="00A263A7"/>
    <w:rsid w:val="00A521CC"/>
    <w:rsid w:val="00A60E16"/>
    <w:rsid w:val="00A64F86"/>
    <w:rsid w:val="00A6587F"/>
    <w:rsid w:val="00A859CF"/>
    <w:rsid w:val="00A87181"/>
    <w:rsid w:val="00AD43C9"/>
    <w:rsid w:val="00AE44C1"/>
    <w:rsid w:val="00B04409"/>
    <w:rsid w:val="00B4387A"/>
    <w:rsid w:val="00B460F5"/>
    <w:rsid w:val="00B552D4"/>
    <w:rsid w:val="00B65DDA"/>
    <w:rsid w:val="00B723B1"/>
    <w:rsid w:val="00B8227E"/>
    <w:rsid w:val="00BA0CD7"/>
    <w:rsid w:val="00BD789C"/>
    <w:rsid w:val="00BE2426"/>
    <w:rsid w:val="00BE4D97"/>
    <w:rsid w:val="00BF1005"/>
    <w:rsid w:val="00C0030B"/>
    <w:rsid w:val="00C11410"/>
    <w:rsid w:val="00C40118"/>
    <w:rsid w:val="00C40329"/>
    <w:rsid w:val="00C61E1B"/>
    <w:rsid w:val="00C70235"/>
    <w:rsid w:val="00C721FC"/>
    <w:rsid w:val="00C72F6D"/>
    <w:rsid w:val="00CA3BC5"/>
    <w:rsid w:val="00CB03D0"/>
    <w:rsid w:val="00CB766F"/>
    <w:rsid w:val="00CC5864"/>
    <w:rsid w:val="00CD275E"/>
    <w:rsid w:val="00CE38B9"/>
    <w:rsid w:val="00CE531A"/>
    <w:rsid w:val="00D01048"/>
    <w:rsid w:val="00D21C5E"/>
    <w:rsid w:val="00D37A90"/>
    <w:rsid w:val="00D505A6"/>
    <w:rsid w:val="00D5427E"/>
    <w:rsid w:val="00D65AC6"/>
    <w:rsid w:val="00D74409"/>
    <w:rsid w:val="00D755E0"/>
    <w:rsid w:val="00D95421"/>
    <w:rsid w:val="00D9549E"/>
    <w:rsid w:val="00DA78FE"/>
    <w:rsid w:val="00DB2E31"/>
    <w:rsid w:val="00DC4580"/>
    <w:rsid w:val="00DD20A1"/>
    <w:rsid w:val="00DD5C42"/>
    <w:rsid w:val="00DD5D63"/>
    <w:rsid w:val="00DD6AAA"/>
    <w:rsid w:val="00E12416"/>
    <w:rsid w:val="00E278A5"/>
    <w:rsid w:val="00E33B3F"/>
    <w:rsid w:val="00E92EB2"/>
    <w:rsid w:val="00E95617"/>
    <w:rsid w:val="00EA2085"/>
    <w:rsid w:val="00EA7E99"/>
    <w:rsid w:val="00EB1EB3"/>
    <w:rsid w:val="00EB3E69"/>
    <w:rsid w:val="00ED1506"/>
    <w:rsid w:val="00ED783D"/>
    <w:rsid w:val="00EE7AAA"/>
    <w:rsid w:val="00EF3A57"/>
    <w:rsid w:val="00F25195"/>
    <w:rsid w:val="00F615BB"/>
    <w:rsid w:val="00F66457"/>
    <w:rsid w:val="00F72756"/>
    <w:rsid w:val="00F7482A"/>
    <w:rsid w:val="00FA1DF3"/>
    <w:rsid w:val="00FA5A76"/>
    <w:rsid w:val="00FA7A8A"/>
    <w:rsid w:val="00FC3D7D"/>
    <w:rsid w:val="01753426"/>
    <w:rsid w:val="0A726F83"/>
    <w:rsid w:val="0FDFD460"/>
    <w:rsid w:val="167A5095"/>
    <w:rsid w:val="17FF09C0"/>
    <w:rsid w:val="1BE3536C"/>
    <w:rsid w:val="1CDD1B49"/>
    <w:rsid w:val="1D771A0C"/>
    <w:rsid w:val="2205651A"/>
    <w:rsid w:val="27BA03D6"/>
    <w:rsid w:val="2F7FFE99"/>
    <w:rsid w:val="2FFECBF6"/>
    <w:rsid w:val="36131D7D"/>
    <w:rsid w:val="361D635B"/>
    <w:rsid w:val="37DB4A86"/>
    <w:rsid w:val="3B91A650"/>
    <w:rsid w:val="3BCE65B0"/>
    <w:rsid w:val="3DA3A6B7"/>
    <w:rsid w:val="3DF70D08"/>
    <w:rsid w:val="3DFFB318"/>
    <w:rsid w:val="3FBFB75F"/>
    <w:rsid w:val="3FFE7A95"/>
    <w:rsid w:val="413E4CB2"/>
    <w:rsid w:val="428A74DC"/>
    <w:rsid w:val="47DC43A0"/>
    <w:rsid w:val="54DC77D4"/>
    <w:rsid w:val="54DFE151"/>
    <w:rsid w:val="5BFB24F6"/>
    <w:rsid w:val="5D378BD1"/>
    <w:rsid w:val="5F671C51"/>
    <w:rsid w:val="5FA71E8F"/>
    <w:rsid w:val="6BFA1C06"/>
    <w:rsid w:val="6D7F28D0"/>
    <w:rsid w:val="6EF37B9D"/>
    <w:rsid w:val="6F18E15F"/>
    <w:rsid w:val="6F4EC60B"/>
    <w:rsid w:val="6FA3DFBA"/>
    <w:rsid w:val="742A6D78"/>
    <w:rsid w:val="76E20725"/>
    <w:rsid w:val="77DE5A98"/>
    <w:rsid w:val="77E97842"/>
    <w:rsid w:val="77FFC6C4"/>
    <w:rsid w:val="79C0172B"/>
    <w:rsid w:val="7A3B2535"/>
    <w:rsid w:val="7AE04A8B"/>
    <w:rsid w:val="7BAF5AB3"/>
    <w:rsid w:val="7BFD530E"/>
    <w:rsid w:val="7BFFD1A9"/>
    <w:rsid w:val="7F1FF2B3"/>
    <w:rsid w:val="7F5EF189"/>
    <w:rsid w:val="7F9B0EBB"/>
    <w:rsid w:val="7FBF7ABA"/>
    <w:rsid w:val="7FFA671A"/>
    <w:rsid w:val="7FFFD4E2"/>
    <w:rsid w:val="92F735FA"/>
    <w:rsid w:val="92FF38F5"/>
    <w:rsid w:val="A3BF7803"/>
    <w:rsid w:val="AD76F7C7"/>
    <w:rsid w:val="AEDF1E3A"/>
    <w:rsid w:val="B5F38D48"/>
    <w:rsid w:val="B75779D8"/>
    <w:rsid w:val="B8CAB3D3"/>
    <w:rsid w:val="BBB2F361"/>
    <w:rsid w:val="BFBC0F22"/>
    <w:rsid w:val="BFDEDA8F"/>
    <w:rsid w:val="BFFB8B38"/>
    <w:rsid w:val="BFFBFBCD"/>
    <w:rsid w:val="BFFEA89F"/>
    <w:rsid w:val="CD97D197"/>
    <w:rsid w:val="D17F18F9"/>
    <w:rsid w:val="DB7BA6F2"/>
    <w:rsid w:val="DBBBFC0A"/>
    <w:rsid w:val="DF7B8846"/>
    <w:rsid w:val="DFDFA008"/>
    <w:rsid w:val="DFFED6C0"/>
    <w:rsid w:val="DFFFB883"/>
    <w:rsid w:val="E77FC254"/>
    <w:rsid w:val="E8FB8050"/>
    <w:rsid w:val="EFBE15AF"/>
    <w:rsid w:val="EFC3ACBE"/>
    <w:rsid w:val="EFFB9AFA"/>
    <w:rsid w:val="F2D7A4A9"/>
    <w:rsid w:val="F2EE84FF"/>
    <w:rsid w:val="F3E7C5A1"/>
    <w:rsid w:val="F67DABE9"/>
    <w:rsid w:val="F97E4323"/>
    <w:rsid w:val="FA3F08A9"/>
    <w:rsid w:val="FDDD8DE8"/>
    <w:rsid w:val="FEBFD774"/>
    <w:rsid w:val="FEFFF939"/>
    <w:rsid w:val="FF8F07BD"/>
    <w:rsid w:val="FF9ACB57"/>
    <w:rsid w:val="FFCD0573"/>
    <w:rsid w:val="FFEA0C00"/>
    <w:rsid w:val="FFF67855"/>
    <w:rsid w:val="FFF7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仿宋"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rFonts w:asciiTheme="minorHAnsi" w:hAnsiTheme="minorHAnsi"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页脚 Char"/>
    <w:link w:val="3"/>
    <w:qFormat/>
    <w:uiPriority w:val="0"/>
    <w:rPr>
      <w:rFonts w:eastAsia="宋体"/>
      <w:sz w:val="18"/>
      <w:szCs w:val="18"/>
    </w:rPr>
  </w:style>
  <w:style w:type="character" w:customStyle="1" w:styleId="10">
    <w:name w:val="页脚 Char1"/>
    <w:basedOn w:val="6"/>
    <w:semiHidden/>
    <w:qFormat/>
    <w:uiPriority w:val="99"/>
    <w:rPr>
      <w:rFonts w:ascii="Times New Roman" w:hAnsi="Times New Roman" w:eastAsia="宋体" w:cs="Times New Roman"/>
      <w:sz w:val="18"/>
      <w:szCs w:val="18"/>
    </w:rPr>
  </w:style>
  <w:style w:type="character" w:customStyle="1" w:styleId="11">
    <w:name w:val="页眉 Char"/>
    <w:basedOn w:val="6"/>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styleId="13">
    <w:name w:val="No Spacing"/>
    <w:qFormat/>
    <w:uiPriority w:val="1"/>
    <w:pPr>
      <w:widowControl w:val="0"/>
      <w:jc w:val="both"/>
    </w:pPr>
    <w:rPr>
      <w:rFonts w:asciiTheme="minorHAnsi" w:hAnsiTheme="minorHAnsi" w:eastAsiaTheme="minorEastAsia" w:cstheme="minorBidi"/>
      <w:kern w:val="2"/>
      <w:sz w:val="24"/>
      <w:szCs w:val="24"/>
      <w:lang w:val="en-US" w:eastAsia="zh-CN" w:bidi="ar-SA"/>
    </w:rPr>
  </w:style>
  <w:style w:type="character" w:customStyle="1" w:styleId="14">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289</Words>
  <Characters>1651</Characters>
  <Lines>13</Lines>
  <Paragraphs>3</Paragraphs>
  <TotalTime>5</TotalTime>
  <ScaleCrop>false</ScaleCrop>
  <LinksUpToDate>false</LinksUpToDate>
  <CharactersWithSpaces>1937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2022-03-26T00:19:00Z</dcterms:created>
  <dc:creator>chenjing</dc:creator>
  <cp:lastModifiedBy>whhlyb</cp:lastModifiedBy>
  <cp:lastPrinted>2022-04-04T13:32:00Z</cp:lastPrinted>
  <dcterms:modified xsi:type="dcterms:W3CDTF">2023-07-11T16:33:58Z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