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spacing w:line="520" w:lineRule="exact"/>
        <w:jc w:val="left"/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届全国旅游公益广告展播情况统计表</w:t>
      </w:r>
      <w:bookmarkEnd w:id="0"/>
    </w:p>
    <w:tbl>
      <w:tblPr>
        <w:tblStyle w:val="3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  <w:gridCol w:w="2034"/>
        <w:gridCol w:w="224"/>
        <w:gridCol w:w="1735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机构名称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机构类别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所属级别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播出所属时期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节目时长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每周播出次数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每周播出  次，其中黄金时段播出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播出总次数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累计播出  次，其中黄金时段播出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播出时段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播出覆盖范围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补贴金额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宣传效果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遴选活动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宣传情况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其他节目形式配合旅游公益广告情况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4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签章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（展播机构）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ind w:firstLine="1600" w:firstLineChars="500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签章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2"/>
                <w:kern w:val="2"/>
                <w:sz w:val="32"/>
                <w:szCs w:val="32"/>
              </w:rPr>
              <w:t>（省级文化和旅游主管部门）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GFmMDdiMzEwOGQ1ZDJhNDcyZmMyMGNiYzk1NDYifQ=="/>
  </w:docVars>
  <w:rsids>
    <w:rsidRoot w:val="00000000"/>
    <w:rsid w:val="57C1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纯文本1"/>
    <w:basedOn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2024-03-18T06:34:03Z</dcterms:created>
  <dc:creator>LQY</dc:creator>
  <cp:lastModifiedBy>禹瑀楀</cp:lastModifiedBy>
  <dcterms:modified xsi:type="dcterms:W3CDTF">2024-03-18T06:34:12Z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4F6EEC3180764FA8A44349A74B3421EC_12</vt:lpwstr>
  </property>
</Properties>
</file>